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CAD80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рекомендации по муниципальному этапу олимпиады</w:t>
      </w:r>
      <w:r>
        <w:rPr>
          <w:rFonts w:hint="default" w:ascii="Times New Roman" w:hAnsi="Times New Roman" w:cs="Times New Roman"/>
          <w:b/>
          <w:sz w:val="28"/>
          <w:szCs w:val="28"/>
          <w:lang w:val="ru-RU"/>
        </w:rPr>
        <w:t xml:space="preserve"> по обществознанию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для учащихся 11 класса 2024/25 учебный год</w:t>
      </w:r>
    </w:p>
    <w:p w14:paraId="10357313">
      <w:pPr>
        <w:ind w:firstLine="709"/>
        <w:jc w:val="center"/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Начало</w:t>
      </w:r>
      <w:r>
        <w:rPr>
          <w:rFonts w:hint="default" w:ascii="Times New Roman" w:hAnsi="Times New Roman" w:cs="Times New Roman"/>
          <w:b/>
          <w:sz w:val="28"/>
          <w:szCs w:val="28"/>
          <w:u w:val="single"/>
          <w:lang w:val="ru-RU"/>
        </w:rPr>
        <w:t xml:space="preserve"> олимпиады в 10 ч. 00 мин.</w:t>
      </w:r>
    </w:p>
    <w:bookmarkEnd w:id="0"/>
    <w:p w14:paraId="55CF356D">
      <w:pPr>
        <w:ind w:right="-42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 олимпиады состоит из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двух туров</w:t>
      </w:r>
      <w:r>
        <w:rPr>
          <w:rFonts w:ascii="Times New Roman" w:hAnsi="Times New Roman" w:cs="Times New Roman"/>
          <w:sz w:val="28"/>
          <w:szCs w:val="28"/>
        </w:rPr>
        <w:t xml:space="preserve"> индивидуальных состязаний участников. </w:t>
      </w:r>
    </w:p>
    <w:p w14:paraId="0941741D">
      <w:pPr>
        <w:ind w:right="-427" w:firstLine="567"/>
        <w:contextualSpacing/>
        <w:jc w:val="both"/>
        <w:rPr>
          <w:rFonts w:hint="default"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Пакет заданий 1 тура включает 10 заданий, 2 тур – задания на основе анализа текста. </w:t>
      </w:r>
      <w:r>
        <w:rPr>
          <w:rFonts w:ascii="Times New Roman" w:hAnsi="Times New Roman" w:cs="Times New Roman"/>
          <w:sz w:val="28"/>
          <w:szCs w:val="28"/>
          <w:lang w:val="ru-RU"/>
        </w:rPr>
        <w:t>Задания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выполняются на бланке ответов.</w:t>
      </w:r>
    </w:p>
    <w:p w14:paraId="2F102406">
      <w:pPr>
        <w:ind w:right="-42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1 тура 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60 минут. </w:t>
      </w:r>
    </w:p>
    <w:p w14:paraId="1942C975">
      <w:pPr>
        <w:ind w:right="-42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2 тура 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60 минут. </w:t>
      </w:r>
    </w:p>
    <w:p w14:paraId="323747B9">
      <w:pPr>
        <w:spacing w:after="0"/>
        <w:ind w:right="-42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Максимальный балл по 1 туру – 60 баллов, по 2 туру – 40 баллов. </w:t>
      </w:r>
    </w:p>
    <w:p w14:paraId="0DC76338">
      <w:pPr>
        <w:spacing w:after="0"/>
        <w:ind w:right="-427" w:firstLine="56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Максимальное количество за 2 тура – 100 баллов.</w:t>
      </w:r>
    </w:p>
    <w:p w14:paraId="35361B1C">
      <w:pPr>
        <w:spacing w:after="0"/>
        <w:ind w:right="-427" w:firstLine="567"/>
        <w:contextualSpacing/>
        <w:jc w:val="both"/>
        <w:rPr>
          <w:rFonts w:ascii="Times New Roman" w:hAnsi="Times New Roman" w:eastAsia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A"/>
          <w:sz w:val="28"/>
          <w:szCs w:val="28"/>
        </w:rPr>
        <w:t>Задания муниципального тура олимпиады учащихся по обществознанию имеют целью выявить уровень знаний ряда ключевых понятий, умение объяснить основные процессы социальной жизни, способность анализировать реальные ситуации и выбирать адекватные способы деятельности и модели поведения школьников 11 класса.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Cs/>
          <w:color w:val="00000A"/>
          <w:sz w:val="28"/>
          <w:szCs w:val="28"/>
        </w:rPr>
        <w:t>Задания предполагают разный уровень сложности: знание понятийного аппарата обществознания, тестовые задания, решение кейс-задач, анализ текста и выполнение по нему заданий.</w:t>
      </w:r>
    </w:p>
    <w:p w14:paraId="77BACAC0">
      <w:pPr>
        <w:spacing w:after="0"/>
        <w:ind w:right="-427" w:firstLine="567"/>
        <w:contextualSpacing/>
        <w:jc w:val="both"/>
        <w:rPr>
          <w:rFonts w:ascii="Times New Roman" w:hAnsi="Times New Roman" w:eastAsia="Times New Roman" w:cs="Times New Roman"/>
          <w:bCs/>
          <w:color w:val="00000A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Первый тур включает</w:t>
      </w:r>
      <w:r>
        <w:rPr>
          <w:rFonts w:ascii="Times New Roman" w:hAnsi="Times New Roman" w:cs="Times New Roman"/>
          <w:sz w:val="28"/>
          <w:szCs w:val="28"/>
        </w:rPr>
        <w:t xml:space="preserve"> стандартные задания соответствующего уровня по социологии, политологии, экономике, праву, логике. В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текстовом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фрагменте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заполнении</w:t>
      </w:r>
      <w:r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пропусков возможно перефразирование.</w:t>
      </w:r>
    </w:p>
    <w:p w14:paraId="54010FD3">
      <w:pPr>
        <w:spacing w:after="0"/>
        <w:ind w:right="-427" w:firstLine="567"/>
        <w:contextualSpacing/>
        <w:jc w:val="both"/>
        <w:rPr>
          <w:rFonts w:ascii="Times New Roman" w:hAnsi="Times New Roman" w:cs="Times New Roman" w:eastAsiaTheme="minorEastAsia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Второй тур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 собой составное задание, предусматривающее работу с фрагментом текста. Для его успешного выполнения необходимо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уметь осуществлять поиск информации в тексте, ориентироваться на ключевые слова, </w:t>
      </w:r>
      <w:r>
        <w:rPr>
          <w:rFonts w:ascii="Times New Roman" w:hAnsi="Times New Roman" w:cs="Times New Roman"/>
          <w:sz w:val="28"/>
          <w:szCs w:val="28"/>
        </w:rPr>
        <w:t xml:space="preserve">выделять нужные для его понимания положения и идеи,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уметь систематизировать, анализировать, обобщать социальную информацию, критически к ней относиться, объяснять причинно-следственные связи. </w:t>
      </w:r>
      <w:r>
        <w:rPr>
          <w:rFonts w:ascii="Times New Roman" w:hAnsi="Times New Roman" w:cs="Times New Roman"/>
          <w:sz w:val="28"/>
          <w:szCs w:val="28"/>
        </w:rPr>
        <w:t xml:space="preserve"> Для построения правильного ответа нужно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умение письменно излагать свои суждения, </w:t>
      </w:r>
      <w:r>
        <w:rPr>
          <w:rFonts w:ascii="Times New Roman" w:hAnsi="Times New Roman" w:cs="Times New Roman"/>
          <w:sz w:val="28"/>
          <w:szCs w:val="28"/>
        </w:rPr>
        <w:t>грамотно построить предложения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Необходимо уметь объяснять причины, следствия на основе информации из текста. </w:t>
      </w:r>
    </w:p>
    <w:p w14:paraId="47C8F708">
      <w:pPr>
        <w:spacing w:after="0"/>
        <w:ind w:right="-42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на задание второго тура предполагают критический анализ текста, ответ на поставленные вопросы с использованием отдельных положений текста, приведение в случае необходимости соответствующих цитат. Высказывая свои мысли, в качестве аргументов, их подтверждающих, можно приводить отдельные положения текста. </w:t>
      </w:r>
    </w:p>
    <w:p w14:paraId="03B9BE88">
      <w:pPr>
        <w:spacing w:after="0"/>
        <w:ind w:right="-427" w:firstLine="567"/>
        <w:contextualSpacing/>
        <w:jc w:val="both"/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Задание второго тура нацеливает на выявление связей социальных объектов, процессов с опорой на обществоведческие знания, факты социальной жизни и личный социальный опыт. Задание второго тура предполагает использование информации из текста при самостоятельном формулировании и аргументации оценочных, прогностических суждений, связанных с проблематикой текста.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sz w:val="28"/>
          <w:szCs w:val="28"/>
          <w:u w:val="single"/>
          <w:lang w:val="ru-RU"/>
        </w:rPr>
        <w:t>Ответы записываются в бланки ответов.</w:t>
      </w:r>
    </w:p>
    <w:p w14:paraId="07CF2BF8">
      <w:pPr>
        <w:pStyle w:val="5"/>
        <w:spacing w:line="276" w:lineRule="auto"/>
        <w:ind w:right="-427" w:firstLine="567"/>
        <w:contextualSpacing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Жюри рассматривает записи решений, приведённые только в чистовике. Черновик жюри не проверяется, и его содержание не может служить в качестве аргументов ни одной из сторон во время процедуры апелляции. </w:t>
      </w:r>
    </w:p>
    <w:p w14:paraId="31D6844A">
      <w:pPr>
        <w:spacing w:after="0"/>
        <w:ind w:right="-427" w:firstLine="567"/>
        <w:contextualSpacing/>
        <w:jc w:val="both"/>
        <w:rPr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Cs/>
          <w:color w:val="00000A"/>
          <w:sz w:val="28"/>
          <w:szCs w:val="28"/>
        </w:rPr>
        <w:t>Различные задания приносят участнику разное количество баллов в зависимости от типа и уровня сложности. К каждому заданию указывается, сколько баллов может принести его правильное или частично правильное выполнение. Неверный ответ приносит 0 баллов. Результаты Олимпиады оцениваются в баллах и не могут быть более 100.</w:t>
      </w:r>
      <w:r>
        <w:rPr>
          <w:rFonts w:ascii="Times New Roman" w:hAnsi="Times New Roman" w:cs="Times New Roman"/>
          <w:sz w:val="28"/>
          <w:szCs w:val="28"/>
        </w:rPr>
        <w:t xml:space="preserve"> В двух турах муниципального этапа сумма итоговых баллов подсчитывается за каждый тур. </w:t>
      </w:r>
      <w:r>
        <w:rPr>
          <w:rFonts w:ascii="Times New Roman" w:hAnsi="Times New Roman" w:cs="Times New Roman"/>
          <w:b/>
          <w:bCs/>
          <w:sz w:val="28"/>
          <w:szCs w:val="28"/>
        </w:rPr>
        <w:t>Каждый тур оценивается в процентных показателях (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они округляются до целого числа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арифметическим правилам):</w:t>
      </w:r>
    </w:p>
    <w:p w14:paraId="0D9DD165">
      <w:pPr>
        <w:ind w:right="-42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максимально возможное число баллов за работу принимается за </w:t>
      </w:r>
      <w:r>
        <w:rPr>
          <w:rFonts w:ascii="Times New Roman" w:hAnsi="Times New Roman" w:cs="Times New Roman"/>
          <w:b/>
          <w:bCs/>
          <w:sz w:val="28"/>
          <w:szCs w:val="28"/>
        </w:rPr>
        <w:t>100.</w:t>
      </w:r>
    </w:p>
    <w:p w14:paraId="7A76C03E">
      <w:pPr>
        <w:ind w:right="-427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реально набранное участником число баллов рассчитывается в процентном отношении к максимально возможному числу баллов.</w:t>
      </w:r>
    </w:p>
    <w:p w14:paraId="38B9FF56">
      <w:pPr>
        <w:ind w:right="-427" w:firstLine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Итоговый результат получается в результате сложения показателей I и II туров.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Итоговые баллы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округляются до целого числа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арифметическим правилам. </w:t>
      </w:r>
    </w:p>
    <w:p w14:paraId="528566F9">
      <w:pPr>
        <w:shd w:val="clear" w:color="auto" w:fill="FFFFFF"/>
        <w:spacing w:after="0" w:line="240" w:lineRule="auto"/>
        <w:ind w:right="-427"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Например: </w:t>
      </w:r>
    </w:p>
    <w:tbl>
      <w:tblPr>
        <w:tblStyle w:val="4"/>
        <w:tblW w:w="0" w:type="auto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3"/>
        <w:gridCol w:w="1955"/>
        <w:gridCol w:w="2585"/>
        <w:gridCol w:w="3235"/>
      </w:tblGrid>
      <w:tr w14:paraId="701F0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CC4B67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Тур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758C4D">
            <w:pPr>
              <w:spacing w:after="0" w:line="240" w:lineRule="auto"/>
              <w:ind w:left="-108" w:firstLine="109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Возможный максимум</w:t>
            </w:r>
          </w:p>
          <w:p w14:paraId="029456AB">
            <w:pPr>
              <w:spacing w:after="0" w:line="240" w:lineRule="auto"/>
              <w:ind w:left="-108" w:firstLine="109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ключу</w:t>
            </w:r>
          </w:p>
          <w:p w14:paraId="0FCD98CB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B5FD7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</w:t>
            </w:r>
          </w:p>
          <w:p w14:paraId="7B489F82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участника</w:t>
            </w:r>
          </w:p>
          <w:p w14:paraId="2C1C275A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</w:t>
            </w:r>
          </w:p>
          <w:p w14:paraId="4F1E7B8A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результатам проверки</w:t>
            </w:r>
          </w:p>
          <w:p w14:paraId="5F7640C9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 ключу</w:t>
            </w:r>
          </w:p>
        </w:tc>
        <w:tc>
          <w:tcPr>
            <w:tcW w:w="3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04F30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</w:t>
            </w:r>
          </w:p>
          <w:p w14:paraId="5F0ABB0E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участника по</w:t>
            </w:r>
          </w:p>
          <w:p w14:paraId="39B6E107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результатам перевода</w:t>
            </w:r>
          </w:p>
          <w:p w14:paraId="37E39452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 процентные</w:t>
            </w:r>
          </w:p>
          <w:p w14:paraId="30BDF245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  <w:p w14:paraId="02040ACD">
            <w:pPr>
              <w:spacing w:after="0" w:line="240" w:lineRule="auto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14:paraId="1647B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E0068A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67BD9D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60 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E21603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</w:t>
            </w:r>
          </w:p>
        </w:tc>
        <w:tc>
          <w:tcPr>
            <w:tcW w:w="3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35318">
            <w:pPr>
              <w:spacing w:after="0" w:line="240" w:lineRule="auto"/>
              <w:ind w:left="-567" w:firstLine="568"/>
              <w:contextualSpacing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44/60 *100 = 73</w:t>
            </w:r>
          </w:p>
        </w:tc>
      </w:tr>
      <w:tr w14:paraId="18728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392DD2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9FC85A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5F039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6D9825">
            <w:pPr>
              <w:spacing w:after="0" w:line="240" w:lineRule="auto"/>
              <w:ind w:left="-567" w:firstLine="568"/>
              <w:contextualSpacing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10/18*100 = 55</w:t>
            </w:r>
          </w:p>
        </w:tc>
      </w:tr>
      <w:tr w14:paraId="4CDB3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31658B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118C11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374AB6">
            <w:pPr>
              <w:spacing w:after="0" w:line="240" w:lineRule="auto"/>
              <w:ind w:left="-567" w:firstLine="568"/>
              <w:contextualSpacing/>
              <w:jc w:val="center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7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9D633">
            <w:pPr>
              <w:spacing w:after="0" w:line="240" w:lineRule="auto"/>
              <w:ind w:left="-567" w:firstLine="568"/>
              <w:contextualSpacing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(73 + 55) : 2 = 64</w:t>
            </w:r>
          </w:p>
        </w:tc>
      </w:tr>
    </w:tbl>
    <w:p w14:paraId="52E925C6">
      <w:pPr>
        <w:pStyle w:val="6"/>
        <w:bidi w:val="0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сумма и есть результат выступления участника на муниципальном этапе, именно по ней определяется его рейтинг. </w:t>
      </w:r>
      <w:r>
        <w:rPr>
          <w:rFonts w:hint="default" w:ascii="Times New Roman" w:hAnsi="Times New Roman" w:cs="Times New Roman"/>
          <w:sz w:val="28"/>
          <w:szCs w:val="28"/>
        </w:rPr>
        <w:t xml:space="preserve">Для Жюри присылаются материалы к ответам и по распределению баллов за каждое задание. </w:t>
      </w:r>
    </w:p>
    <w:p w14:paraId="58443B6E">
      <w:pPr>
        <w:pStyle w:val="6"/>
        <w:bidi w:val="0"/>
        <w:ind w:left="0" w:leftChars="0" w:firstLine="0" w:firstLineChars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результатам участников составляется рейтинг по параллели, на основании которого определя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ю</w:t>
      </w:r>
      <w:r>
        <w:rPr>
          <w:rFonts w:hint="default" w:ascii="Times New Roman" w:hAnsi="Times New Roman" w:cs="Times New Roman"/>
          <w:sz w:val="28"/>
          <w:szCs w:val="28"/>
        </w:rPr>
        <w:t>тся победители и призёры, согласно соответствующим нормативным документам.</w:t>
      </w:r>
    </w:p>
    <w:tbl>
      <w:tblPr>
        <w:tblStyle w:val="4"/>
        <w:tblW w:w="0" w:type="auto"/>
        <w:tblInd w:w="28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3"/>
      </w:tblGrid>
      <w:tr w14:paraId="0E9A3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7" w:type="dxa"/>
            <w:tcBorders>
              <w:top w:val="nil"/>
              <w:left w:val="nil"/>
              <w:bottom w:val="nil"/>
              <w:right w:val="nil"/>
            </w:tcBorders>
          </w:tcPr>
          <w:p w14:paraId="25E6F1B4">
            <w:pPr>
              <w:pStyle w:val="6"/>
              <w:bidi w:val="0"/>
              <w:ind w:left="0" w:leftChars="0" w:firstLine="0" w:firstLineChars="0"/>
              <w:jc w:val="center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Председатель</w:t>
            </w:r>
          </w:p>
          <w:p w14:paraId="70638DE9">
            <w:pPr>
              <w:pStyle w:val="6"/>
              <w:bidi w:val="0"/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 xml:space="preserve">предметно - методической комиссии по обществознанию доцент кафедры философии, </w:t>
            </w:r>
          </w:p>
          <w:p w14:paraId="178F051D">
            <w:pPr>
              <w:pStyle w:val="6"/>
              <w:bidi w:val="0"/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истории и политологии, кандидат философских наук</w:t>
            </w:r>
          </w:p>
          <w:p w14:paraId="2292C4BA">
            <w:pPr>
              <w:pStyle w:val="6"/>
              <w:bidi w:val="0"/>
              <w:jc w:val="both"/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ru-RU"/>
              </w:rPr>
              <w:t>ФГБОУ ВО «БГУ им. Академика И.Г. Петровского»</w:t>
            </w:r>
          </w:p>
          <w:p w14:paraId="749889F7">
            <w:pPr>
              <w:pStyle w:val="6"/>
              <w:bidi w:val="0"/>
              <w:jc w:val="right"/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Емельяненко Владимир Дмитриевич</w:t>
            </w:r>
          </w:p>
          <w:p w14:paraId="325172C5">
            <w:pPr>
              <w:pStyle w:val="6"/>
              <w:wordWrap w:val="0"/>
              <w:bidi w:val="0"/>
              <w:jc w:val="right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конт. тел.: 8-980-334-04-81</w:t>
            </w:r>
          </w:p>
        </w:tc>
      </w:tr>
    </w:tbl>
    <w:p w14:paraId="2AD7F7FC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C108C9"/>
    <w:rsid w:val="3F9B0310"/>
    <w:rsid w:val="471A2AB1"/>
    <w:rsid w:val="6D333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ru-RU" w:eastAsia="en-US" w:bidi="ar-SA"/>
    </w:rPr>
  </w:style>
  <w:style w:type="paragraph" w:styleId="6">
    <w:name w:val="List Paragraph"/>
    <w:basedOn w:val="1"/>
    <w:qFormat/>
    <w:uiPriority w:val="34"/>
    <w:pPr>
      <w:spacing w:after="200" w:line="276" w:lineRule="auto"/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2024-10-17T13:55:00Z</dcterms:created>
  <dc:creator>User</dc:creator>
  <cp:lastModifiedBy>User</cp:lastModifiedBy>
  <dcterms:modified xsi:type="dcterms:W3CDTF">2024-10-21T06:17:43Z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8D70935C0E484E22B5C6443BF828BC19_12</vt:lpwstr>
  </property>
</Properties>
</file>